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Hlk174014500"/>
      <w:r>
        <w:rPr>
          <w:rFonts w:eastAsia="Arial Narrow" w:cs="Arial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  <w:t xml:space="preserve">INCARICO PROFESSIONALE PER LA </w:t>
      </w:r>
      <w:bookmarkEnd w:id="1"/>
      <w:r>
        <w:rPr>
          <w:rFonts w:eastAsia="Arial Narrow" w:cs="Arial" w:ascii="Tahoma" w:hAnsi="Tahoma"/>
          <w:b/>
          <w:bCs/>
          <w:iCs/>
          <w:color w:val="00000A"/>
          <w:spacing w:val="-8"/>
          <w:sz w:val="22"/>
          <w:szCs w:val="22"/>
          <w:lang w:val="it-IT"/>
        </w:rPr>
        <w:t xml:space="preserve">REDAZIONE DEL </w:t>
      </w:r>
      <w:r>
        <w:rPr>
          <w:rFonts w:eastAsia="Arial Narrow" w:cs="Arial" w:ascii="Tahoma" w:hAnsi="Tahoma"/>
          <w:b/>
          <w:bCs/>
          <w:i w:val="false"/>
          <w:iCs/>
          <w:caps w:val="false"/>
          <w:smallCaps w:val="false"/>
          <w:color w:val="00000A"/>
          <w:spacing w:val="0"/>
          <w:sz w:val="22"/>
          <w:szCs w:val="22"/>
          <w:lang w:val="it-IT"/>
        </w:rPr>
        <w:t>DOCUMENTO DI FATTIBILITA’ DELLE ALTERNATIVE PROGETTUALI PER LE AREE CENTRALI DEL COMUNE DI INDUNO OLONA (VA)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2547"/>
        <w:gridCol w:w="2547"/>
        <w:gridCol w:w="1715"/>
        <w:gridCol w:w="2502"/>
      </w:tblGrid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980"/>
        <w:gridCol w:w="2975"/>
        <w:gridCol w:w="1841"/>
        <w:gridCol w:w="2304"/>
      </w:tblGrid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rFonts w:cs="Courier New"/>
    </w:rPr>
  </w:style>
  <w:style w:type="character" w:styleId="ListLabel13">
    <w:name w:val="ListLabel 13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